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400"/>
      </w:pPr>
      <w:r>
        <w:rPr>
          <w:rFonts w:ascii="Arial" w:hAnsi="Arial" w:eastAsia="Arial" w:cs="Arial"/>
          <w:color w:val="4F46E5"/>
          <w:sz w:val="56"/>
          <w:szCs w:val="56"/>
          <w:b w:val="1"/>
          <w:bCs w:val="1"/>
        </w:rPr>
        <w:t xml:space="preserve">BOOK OF ABSTRACTS</w:t>
      </w:r>
    </w:p>
    <w:p>
      <w:pPr>
        <w:jc w:val="center"/>
        <w:spacing w:after="400"/>
      </w:pPr>
      <w:r>
        <w:rPr>
          <w:rFonts w:ascii="Arial" w:hAnsi="Arial" w:eastAsia="Arial" w:cs="Arial"/>
          <w:color w:val="1E293B"/>
          <w:sz w:val="32"/>
          <w:szCs w:val="32"/>
          <w:b w:val="1"/>
          <w:bCs w:val="1"/>
        </w:rPr>
        <w:t xml:space="preserve">2nd International Conference on Inclusive STEAM Education</w:t>
      </w:r>
    </w:p>
    <w:p>
      <w:pPr/>
      <w:r>
        <w:pict>
          <v:shape id="_x0000_s1003" type="#_x0000_t32" style="width:400pt; height:0pt; margin-left:0pt; margin-top:0pt; mso-position-horizontal:left; mso-position-vertical:top; mso-position-horizontal-relative:char; mso-position-vertical-relative:line;">
            <w10:wrap type="inline"/>
            <v:stroke weight="2pt" color="4F46E5"/>
          </v:shape>
        </w:pict>
      </w:r>
    </w:p>
    <w:p/>
    <w:p/>
    <w:p>
      <w:pPr>
        <w:jc w:val="center"/>
      </w:pPr>
      <w:r>
        <w:rPr>
          <w:color w:val="64748B"/>
          <w:sz w:val="24"/>
          <w:szCs w:val="24"/>
        </w:rPr>
        <w:t xml:space="preserve">Hybrid, Universitas Negeri Malang, Indonesia</w:t>
      </w:r>
    </w:p>
    <w:p>
      <w:pPr>
        <w:jc w:val="center"/>
      </w:pPr>
      <w:r>
        <w:rPr>
          <w:color w:val="1E293B"/>
          <w:sz w:val="24"/>
          <w:szCs w:val="24"/>
          <w:b w:val="1"/>
          <w:bCs w:val="1"/>
        </w:rPr>
        <w:t xml:space="preserve">15 - 16 August 2026</w:t>
      </w:r>
    </w:p>
    <w:p>
      <w:pPr>
        <w:sectPr>
          <w:pgSz w:orient="portrait" w:w="11905.511811023622" w:h="16837.79527559055"/>
          <w:vAlign w:val="center"/>
          <w:pgMar w:top="1417.3228346456694" w:right="1700.787401574803" w:bottom="1417.3228346456694" w:left="1700.787401574803" w:header="720" w:footer="720" w:gutter="0"/>
          <w:cols w:num="1" w:space="720"/>
        </w:sectPr>
      </w:pPr>
    </w:p>
    <w:p>
      <w:pPr>
        <w:pStyle w:val="Heading1"/>
      </w:pPr>
      <w:bookmarkStart w:id="0" w:name="_Toc0"/>
      <w:r>
        <w:t>ABOUT THE CONFERENCE</w:t>
      </w:r>
      <w:bookmarkEnd w:id="0"/>
    </w:p>
    <w:p>
      <w:pPr>
        <w:pStyle w:val="Justify"/>
      </w:pPr>
      <w:r>
        <w:rPr/>
        <w:t xml:space="preserve">ICTEME 2026 Conference Updates</w:t>
      </w:r>
    </w:p>
    <w:p>
      <w:pPr>
        <w:pStyle w:val="Justify"/>
      </w:pPr>
      <w:r>
        <w:rPr/>
        <w:t xml:space="preserve">To improve the conference experience and provide greater opportunities for prospective authors and participants, the organizing committee has announced several important updates for the 2026 International Conference on Inclusive STEAM Education (ICTEME 2026).</w:t>
      </w:r>
    </w:p>
    <w:p>
      <w:pPr>
        <w:pStyle w:val="Justify"/>
      </w:pPr>
      <w:r>
        <w:rPr/>
        <w:t xml:space="preserve">2026 ICTEME</w:t>
      </w:r>
    </w:p>
    <w:p>
      <w:pPr>
        <w:pStyle w:val="Justify"/>
      </w:pPr>
      <w:r>
        <w:rPr/>
        <w:t xml:space="preserve">Key Updates</w:t>
      </w:r>
    </w:p>
    <w:p>
      <w:pPr>
        <w:pStyle w:val="Justify"/>
      </w:pPr>
      <w:r>
        <w:rPr/>
        <w:t xml:space="preserve">Extended Abstract Submission Deadline. The abstract submission deadline has been extended to 7 August 2026, providing additional time for authors to prepare and submit their work.</w:t>
      </w:r>
    </w:p>
    <w:p>
      <w:pPr>
        <w:pStyle w:val="Justify"/>
      </w:pPr>
      <w:r>
        <w:rPr/>
        <w:t xml:space="preserve">Notification of Acceptance. Acceptance notifications will be released on 10 August 2026.</w:t>
      </w:r>
    </w:p>
    <w:p>
      <w:pPr>
        <w:pStyle w:val="Justify"/>
      </w:pPr>
      <w:r>
        <w:rPr/>
        <w:t xml:space="preserve">Conference Schedule15 August 2026, Conference Sessions: 09.45 a.m. – 01.15 p.m.</w:t>
      </w:r>
    </w:p>
    <w:p>
      <w:pPr>
        <w:pStyle w:val="Justify"/>
      </w:pPr>
      <w:r>
        <w:rPr/>
        <w:t xml:space="preserve">16 August 2026, Collegial Meeting with the I-STEAM Global Community (GC) and the World Forum for Inclusive Education (WFIEd): Starting at 09.45 a.m. The collegial meeting will be conducted in virtual mode.</w:t>
      </w:r>
    </w:p>
    <w:p>
      <w:pPr>
        <w:pStyle w:val="Justify"/>
      </w:pPr>
      <w:r>
        <w:rPr/>
        <w:t xml:space="preserve">Special Benefit for Participants. All registered presenters and participants will automatically receive one-year membership to the World Forum for Inclusive Education (WFIEd) at no additional cost.</w:t>
      </w:r>
    </w:p>
    <w:p>
      <w:pPr>
        <w:pStyle w:val="Justify"/>
      </w:pPr>
      <w:r>
        <w:rPr/>
        <w:t xml:space="preserve">Special Discount for Universitas Negeri Malang Students. A 50% registration fee discount is available exclusively for Universitas Negeri Malang (UM) students who register as presenters.</w:t>
      </w:r>
    </w:p>
    <w:p>
      <w:pPr>
        <w:pStyle w:val="Justify"/>
      </w:pPr>
      <w:r>
        <w:rPr/>
        <w:t xml:space="preserve">Publication Opportunities. Accepted papers will continue to be considered for publication in the conference proceedings and selected partner journals, subject to the respective editorial policies and peer-review process.</w:t>
      </w:r>
    </w:p>
    <w:p>
      <w:pPr>
        <w:pStyle w:val="Justify"/>
      </w:pPr>
      <w:r>
        <w:rPr/>
        <w:t xml:space="preserve">Conference Theme. Inclusive STEAM for All: Bridging Innovation, Equity, and Access in 21st Century Education</w:t>
      </w:r>
    </w:p>
    <w:p>
      <w:pPr>
        <w:pStyle w:val="Justify"/>
      </w:pPr>
      <w:r>
        <w:rPr/>
        <w:t xml:space="preserve">ICTEME 2026 welcomes original research related to:</w:t>
      </w:r>
    </w:p>
    <w:p>
      <w:pPr>
        <w:pStyle w:val="Justify"/>
      </w:pPr>
      <w:r>
        <w:rPr/>
        <w:t xml:space="preserve">Equity and Access in STEAM</w:t>
      </w:r>
    </w:p>
    <w:p>
      <w:pPr>
        <w:pStyle w:val="Justify"/>
      </w:pPr>
      <w:r>
        <w:rPr/>
        <w:t xml:space="preserve">Technology for Students with Special Educational Needs (SEN)</w:t>
      </w:r>
    </w:p>
    <w:p>
      <w:pPr>
        <w:pStyle w:val="Justify"/>
      </w:pPr>
      <w:r>
        <w:rPr/>
        <w:t xml:space="preserve">Arts Integration in STEM</w:t>
      </w:r>
    </w:p>
    <w:p>
      <w:pPr>
        <w:pStyle w:val="Justify"/>
      </w:pPr>
      <w:r>
        <w:rPr/>
        <w:t xml:space="preserve">Policy and Systemic Reform</w:t>
      </w:r>
    </w:p>
    <w:p>
      <w:pPr>
        <w:pStyle w:val="Justify"/>
      </w:pPr>
      <w:r>
        <w:rPr/>
        <w:t xml:space="preserve">Inclusive Pedagogies and Universal Design for Learning (UDL)</w:t>
      </w:r>
    </w:p>
    <w:p>
      <w:pPr>
        <w:pStyle w:val="Justify"/>
      </w:pPr>
      <w:r>
        <w:rPr/>
        <w:t xml:space="preserve">Neurodiversity and Marginalized Communities</w:t>
      </w:r>
    </w:p>
    <w:p>
      <w:pPr>
        <w:pStyle w:val="Justify"/>
      </w:pPr>
      <w:r>
        <w:rPr/>
        <w:t xml:space="preserve">Teacher Professional Development</w:t>
      </w:r>
    </w:p>
    <w:p>
      <w:pPr>
        <w:pStyle w:val="Justify"/>
      </w:pPr>
      <w:r>
        <w:rPr/>
        <w:t xml:space="preserve">Cross-Disciplinary Research in Inclusive STEAM</w:t>
      </w:r>
    </w:p>
    <w:p>
      <w:pPr>
        <w:pStyle w:val="Justify"/>
      </w:pPr>
      <w:r>
        <w:rPr/>
        <w:t xml:space="preserve">The organizing committee encourages researchers, educators, policymakers, practitioners, and students from around the world to take advantage of the extended submission period and join ICTEME 2026 in advancing inclusive, equitable, and innovative STEAM education for all.</w:t>
      </w:r>
    </w:p>
    <w:p/>
    <w:tbl>
      <w:tblGrid>
        <w:gridCol w:w="3000" w:type="dxa"/>
        <w:gridCol w:w="6000" w:type="dxa"/>
      </w:tblGrid>
      <w:tblPr>
        <w:tblStyle w:val="InfoTable"/>
      </w:tblPr>
      <w:tr>
        <w:trPr/>
        <w:tc>
          <w:tcPr>
            <w:tcW w:w="3000" w:type="dxa"/>
            <w:shd w:val="clear" w:fill="F1F5F9"/>
            <w:noWrap/>
          </w:tcPr>
          <w:p>
            <w:pPr/>
            <w:r>
              <w:rPr>
                <w:rFonts w:ascii="Arial" w:hAnsi="Arial" w:eastAsia="Arial" w:cs="Arial"/>
                <w:b w:val="1"/>
                <w:bCs w:val="1"/>
              </w:rPr>
              <w:t xml:space="preserve">Conference Name</w:t>
            </w:r>
          </w:p>
        </w:tc>
        <w:tc>
          <w:tcPr>
            <w:tcW w:w="6000" w:type="dxa"/>
            <w:noWrap/>
          </w:tcPr>
          <w:p>
            <w:pPr/>
            <w:r>
              <w:rPr/>
              <w:t xml:space="preserve">2nd International Conference on Inclusive STEAM Education</w:t>
            </w:r>
          </w:p>
        </w:tc>
      </w:tr>
      <w:tr>
        <w:trPr/>
        <w:tc>
          <w:tcPr>
            <w:tcW w:w="3000" w:type="dxa"/>
            <w:shd w:val="clear" w:fill="F1F5F9"/>
            <w:noWrap/>
          </w:tcPr>
          <w:p>
            <w:pPr/>
            <w:r>
              <w:rPr>
                <w:rFonts w:ascii="Arial" w:hAnsi="Arial" w:eastAsia="Arial" w:cs="Arial"/>
                <w:b w:val="1"/>
                <w:bCs w:val="1"/>
              </w:rPr>
              <w:t xml:space="preserve">Date</w:t>
            </w:r>
          </w:p>
        </w:tc>
        <w:tc>
          <w:tcPr>
            <w:tcW w:w="6000" w:type="dxa"/>
            <w:noWrap/>
          </w:tcPr>
          <w:p>
            <w:pPr/>
            <w:r>
              <w:rPr/>
              <w:t xml:space="preserve">15 - 16 August 2026</w:t>
            </w:r>
          </w:p>
        </w:tc>
      </w:tr>
      <w:tr>
        <w:trPr/>
        <w:tc>
          <w:tcPr>
            <w:tcW w:w="3000" w:type="dxa"/>
            <w:shd w:val="clear" w:fill="F1F5F9"/>
            <w:noWrap/>
          </w:tcPr>
          <w:p>
            <w:pPr/>
            <w:r>
              <w:rPr>
                <w:rFonts w:ascii="Arial" w:hAnsi="Arial" w:eastAsia="Arial" w:cs="Arial"/>
                <w:b w:val="1"/>
                <w:bCs w:val="1"/>
              </w:rPr>
              <w:t xml:space="preserve">Venue</w:t>
            </w:r>
          </w:p>
        </w:tc>
        <w:tc>
          <w:tcPr>
            <w:tcW w:w="6000" w:type="dxa"/>
            <w:noWrap/>
          </w:tcPr>
          <w:p>
            <w:pPr/>
            <w:r>
              <w:rPr/>
              <w:t xml:space="preserve">Hybrid, Universitas Negeri Malang, Indonesia</w:t>
            </w:r>
          </w:p>
        </w:tc>
      </w:tr>
      <w:tr>
        <w:trPr/>
        <w:tc>
          <w:tcPr>
            <w:tcW w:w="3000" w:type="dxa"/>
            <w:shd w:val="clear" w:fill="F1F5F9"/>
            <w:noWrap/>
          </w:tcPr>
          <w:p>
            <w:pPr/>
            <w:r>
              <w:rPr>
                <w:rFonts w:ascii="Arial" w:hAnsi="Arial" w:eastAsia="Arial" w:cs="Arial"/>
                <w:b w:val="1"/>
                <w:bCs w:val="1"/>
              </w:rPr>
              <w:t xml:space="preserve">Total Papers</w:t>
            </w:r>
          </w:p>
        </w:tc>
        <w:tc>
          <w:tcPr>
            <w:tcW w:w="6000" w:type="dxa"/>
            <w:noWrap/>
          </w:tcPr>
          <w:p>
            <w:pPr/>
            <w:r>
              <w:rPr/>
              <w:t xml:space="preserve">8 Accepted Papers</w:t>
            </w:r>
          </w:p>
        </w:tc>
      </w:tr>
    </w:tbl>
    <w:p>
      <w:r>
        <w:br w:type="page"/>
      </w:r>
    </w:p>
    <w:p>
      <w:pPr>
        <w:pStyle w:val="Heading1"/>
      </w:pPr>
      <w:bookmarkStart w:id="1" w:name="_Toc1"/>
      <w:r>
        <w:t>LIST OF ABSTRACTS</w:t>
      </w:r>
      <w:bookmarkEnd w:id="1"/>
    </w:p>
    <w:p>
      <w:pPr>
        <w:keepNext w:val="1"/>
        <w:jc w:val="center"/>
        <w:spacing w:before="240" w:after="100"/>
      </w:pPr>
      <w:r>
        <w:rPr>
          <w:rFonts w:ascii="Arial" w:hAnsi="Arial" w:eastAsia="Arial" w:cs="Arial"/>
          <w:color w:val="0F172A"/>
          <w:sz w:val="24"/>
          <w:szCs w:val="24"/>
          <w:b w:val="1"/>
          <w:bCs w:val="1"/>
        </w:rPr>
        <w:t xml:space="preserve">ANALYSIS OF TEACHERS' DIGITAL READINESS IN THE TRANSITION FROM PAPER-BASED TO WEB-BASED “E-NGAJER”: CASE STUDY AT SYEKH ABDURRAHMAN BHUJUK AGUNG RABAH PAMEKASAN FOUNDATION</w:t>
      </w:r>
    </w:p>
    <w:p>
      <w:pPr>
        <w:pStyle w:val="Center"/>
      </w:pPr>
      <w:r>
        <w:rPr>
          <w:sz w:val="22"/>
          <w:szCs w:val="22"/>
          <w:b w:val="1"/>
          <w:bCs w:val="1"/>
        </w:rPr>
        <w:t xml:space="preserve">Nurul Laili Sa’adah</w:t>
      </w:r>
      <w:br/>
      <w:r>
        <w:rPr>
          <w:color w:val="475569"/>
          <w:sz w:val="20"/>
          <w:szCs w:val="20"/>
          <w:i w:val="1"/>
          <w:iCs w:val="1"/>
        </w:rPr>
        <w:t xml:space="preserve">-</w:t>
      </w:r>
      <w:br/>
      <w:r>
        <w:rPr>
          <w:color w:val="2563EB"/>
          <w:sz w:val="20"/>
          <w:szCs w:val="20"/>
          <w:u w:val="single"/>
        </w:rPr>
        <w:t xml:space="preserve">nurul.laili.ft@um.ac.id</w:t>
      </w:r>
    </w:p>
    <w:p/>
    <w:p>
      <w:pPr>
        <w:pStyle w:val="Justify"/>
      </w:pPr>
      <w:r>
        <w:rPr/>
        <w:t xml:space="preserve">Digital transformation in rural education is currently facing a digital divide at the micro level. This study assessed the readiness of educators to transition from traditional paper-based methods to the web-based application “E-Ngajer” at Syekh Abdurrahman Bhujuk Agung Rabah Foundation in Pamekasan. Using a mixed-method (quantitave-qualitative) with simultaneous triangulation, data was collected through Google Forms, interviews, and observations. The results indicated high digital readiness in the vocational high school (VHS) division (average score of 82.4, with 92.5% successful transitions), while the junior high school (average score of 41.2, 10% successful transitions) and Islamic high school (average score of 43.8, 12.5% ​​successful transitions) divisions, which still rely on paper, lagged behind. Triangulation matrix analysis revealed that although 92% of vocational high school teachers owned compatible smartphones, 78% experienced unstable connection issues, indicating the need for a lightweight and highly compressed web interface. Furthermore, 68% of junior high school and Islamic high school teachers expressed technology anxiety. Nevertheless, 96% of teachers stated that displaying real-time incentives on the dashboard significantly increased their motivation, and 85% were willing to adopt a digital platform if the reporting process took less than five minutes. The study concluded that linking administrative tasks to transparent and real-time financial incentives serves as a powerful behavioral reinforcer, reducing resistance to digitalization. Therefore, structured teacher-to-teacher training and infrastructure support are recommended to bridge the digital divide in rural areas</w:t>
      </w:r>
    </w:p>
    <w:p>
      <w:pPr>
        <w:spacing w:before="100"/>
      </w:pPr>
      <w:r>
        <w:rPr>
          <w:sz w:val="20"/>
          <w:szCs w:val="20"/>
          <w:b w:val="1"/>
          <w:bCs w:val="1"/>
        </w:rPr>
        <w:t xml:space="preserve">Keywords: </w:t>
      </w:r>
      <w:r>
        <w:rPr>
          <w:sz w:val="20"/>
          <w:szCs w:val="20"/>
          <w:i w:val="1"/>
          <w:iCs w:val="1"/>
        </w:rPr>
        <w:t xml:space="preserve">administrative tasks, digital divide, web-based incentives, mixed methods, teacher readiness</w:t>
      </w:r>
    </w:p>
    <w:p/>
    <w:p>
      <w:pPr>
        <w:spacing w:after="400"/>
        <w:pBdr>
          <w:bottom w:val="single" w:sz="6" w:color="CBD5E1"/>
        </w:pBdr>
      </w:pPr>
      <w:r>
        <w:rPr/>
        <w:t xml:space="preserve"/>
      </w:r>
    </w:p>
    <w:p>
      <w:pPr>
        <w:keepNext w:val="1"/>
        <w:jc w:val="center"/>
        <w:spacing w:before="240" w:after="100"/>
      </w:pPr>
      <w:r>
        <w:rPr>
          <w:rFonts w:ascii="Arial" w:hAnsi="Arial" w:eastAsia="Arial" w:cs="Arial"/>
          <w:color w:val="0F172A"/>
          <w:sz w:val="24"/>
          <w:szCs w:val="24"/>
          <w:b w:val="1"/>
          <w:bCs w:val="1"/>
        </w:rPr>
        <w:t xml:space="preserve">AI-BASED SIGN LANGUAGE TRANSLATION AND INCLUSIVE EDUCATION: A SYSTEMATIC LITERATURE REVIEW</w:t>
      </w:r>
    </w:p>
    <w:p>
      <w:pPr>
        <w:pStyle w:val="Center"/>
      </w:pPr>
      <w:r>
        <w:rPr>
          <w:sz w:val="22"/>
          <w:szCs w:val="22"/>
          <w:b w:val="1"/>
          <w:bCs w:val="1"/>
        </w:rPr>
        <w:t xml:space="preserve">Rizqi Fajar Pradipta</w:t>
      </w:r>
      <w:br/>
      <w:r>
        <w:rPr>
          <w:color w:val="475569"/>
          <w:sz w:val="20"/>
          <w:szCs w:val="20"/>
          <w:i w:val="1"/>
          <w:iCs w:val="1"/>
        </w:rPr>
        <w:t xml:space="preserve">-</w:t>
      </w:r>
      <w:br/>
      <w:r>
        <w:rPr>
          <w:color w:val="2563EB"/>
          <w:sz w:val="20"/>
          <w:szCs w:val="20"/>
          <w:u w:val="single"/>
        </w:rPr>
        <w:t xml:space="preserve">rizqifajarp@gmail.com</w:t>
      </w:r>
    </w:p>
    <w:p/>
    <w:p>
      <w:pPr>
        <w:pStyle w:val="Justify"/>
      </w:pPr>
      <w:r>
        <w:rPr/>
        <w:t xml:space="preserve">The accelerating convergence of artificial intelligence (AI) and assistive technology has opened new possibilities for supporting Deaf and Hard-of-Hearing (DHH) learners within inclusive education systems. This study presents a systematic literature review (SLR) examining how AI-based sign language translator (SLT) prototypes function as a catalyst for digital transformation in inclusive education. Following the PRISMA 2020 protocol and the Kitchenham and Charters (2007) SLR guidelines, a structured search was conducted across Scopus, Web of Science, IEEE Xplore, ScienceDirect, and Google Scholar for studies published between 2018 and 2025. Of 379 records initially identified, 26 studies met the inclusion criteria and were analyzed thematically. The review finds that convolutional neural network-long short-term memory (CNN-LSTM) hybrids and, more recently, transformer-based architectures dominate current sign language recognition and translation research, while studies that explicitly connect these technologies to inclusive-education outcomes remain comparatively scarce. Four themes emerged: (1) deep-learning architectures for sign recognition and generation, (2) assistive technology as a driver of educational digital transformation, (3) institutional and pedagogical barriers to adoption, and (4) gaps in real-classroom validation and multilingual sign corpora. The review concludes that AI-based sign language translators hold considerable promise as instruments of inclusive digital transformation, but that their educational impact is still under-theorized and under-tested empirically. Based on these findings, alternative, more literature-aligned titles are proposed, and an agenda for future research is outlined</w:t>
      </w:r>
    </w:p>
    <w:p>
      <w:pPr>
        <w:spacing w:before="100"/>
      </w:pPr>
      <w:r>
        <w:rPr>
          <w:sz w:val="20"/>
          <w:szCs w:val="20"/>
          <w:b w:val="1"/>
          <w:bCs w:val="1"/>
        </w:rPr>
        <w:t xml:space="preserve">Keywords: </w:t>
      </w:r>
      <w:r>
        <w:rPr>
          <w:sz w:val="20"/>
          <w:szCs w:val="20"/>
          <w:i w:val="1"/>
          <w:iCs w:val="1"/>
        </w:rPr>
        <w:t xml:space="preserve">artificial intelligence; sign language translator; inclusive education; digital transformation; systematic literature review; deaf and hard-of-hearing learners</w:t>
      </w:r>
    </w:p>
    <w:p/>
    <w:p>
      <w:pPr>
        <w:spacing w:after="400"/>
        <w:pBdr>
          <w:bottom w:val="single" w:sz="6" w:color="CBD5E1"/>
        </w:pBdr>
      </w:pPr>
      <w:r>
        <w:rPr/>
        <w:t xml:space="preserve"/>
      </w:r>
    </w:p>
    <w:p>
      <w:pPr>
        <w:keepNext w:val="1"/>
        <w:jc w:val="center"/>
        <w:spacing w:before="240" w:after="100"/>
      </w:pPr>
      <w:r>
        <w:rPr>
          <w:rFonts w:ascii="Arial" w:hAnsi="Arial" w:eastAsia="Arial" w:cs="Arial"/>
          <w:color w:val="0F172A"/>
          <w:sz w:val="24"/>
          <w:szCs w:val="24"/>
          <w:b w:val="1"/>
          <w:bCs w:val="1"/>
        </w:rPr>
        <w:t xml:space="preserve">MOVEMENT AND PRECISION: A PORTRAIT OF GROSS AND FINE MOTOR SKILLS</w:t>
      </w:r>
    </w:p>
    <w:p>
      <w:pPr>
        <w:pStyle w:val="Center"/>
      </w:pPr>
      <w:r>
        <w:rPr>
          <w:sz w:val="22"/>
          <w:szCs w:val="22"/>
          <w:b w:val="1"/>
          <w:bCs w:val="1"/>
        </w:rPr>
        <w:t xml:space="preserve">MUHAMMAD ATIQ NOVIUDIN PRITAMA</w:t>
      </w:r>
      <w:br/>
      <w:r>
        <w:rPr>
          <w:color w:val="475569"/>
          <w:sz w:val="20"/>
          <w:szCs w:val="20"/>
          <w:i w:val="1"/>
          <w:iCs w:val="1"/>
        </w:rPr>
        <w:t xml:space="preserve">-</w:t>
      </w:r>
      <w:br/>
      <w:r>
        <w:rPr>
          <w:color w:val="2563EB"/>
          <w:sz w:val="20"/>
          <w:szCs w:val="20"/>
          <w:u w:val="single"/>
        </w:rPr>
        <w:t xml:space="preserve">muh.noviudin.fik@um.ac.id</w:t>
      </w:r>
    </w:p>
    <w:p/>
    <w:p>
      <w:pPr>
        <w:pStyle w:val="Justify"/>
      </w:pPr>
      <w:r>
        <w:rPr/>
        <w:t xml:space="preserve"> </w:t>
      </w:r>
    </w:p>
    <w:p>
      <w:pPr>
        <w:pStyle w:val="Justify"/>
      </w:pPr>
      <w:r>
        <w:rPr/>
        <w:t xml:space="preserve">Gross and fine motor skills are two fundamental domains of children's motor development that are significantly influenced by the presence of a disability. This study aims to assess gross motor skills using the Test of Gross Motor Development-2 (TGMD-2) and fine motor skills using the Nine Hole Peg Test (NHPT) among students with disabilities at SLBN Batu in Batu City, East Java. The study employed a descriptive quantitative approach with a cross-sectional design. The participants consisted of 16 students with disabilities, aged 7 to 12 years, selected using purposive sampling based on established inclusion criteria. The types of disabilities identified included mild intellectual disability, moderate intellectual disability, mild cerebral palsy, and general motor impairments. Data collection was conducted through two testing sessions. Descriptive statistical analysis revealed a mean TGMD-2 score of 18.50 out of a maximum of 32 (equivalent to 57.8%), with a standard deviation of 9.543. In the NHPT, the average completion time was 40.31 seconds, well above the general population norm of 19–25 seconds for children of the same age. All subjects (100%) exhibited delays in fine motor skills, whereas some students achieved perfect scores in gross motor skills. It is concluded that students with disabilities at SLBN Batu experience impairments in both motor domains, with the severity of fine motor impairment consistently greater than that of gross motor impairment. </w:t>
      </w:r>
    </w:p>
    <w:p>
      <w:pPr>
        <w:spacing w:before="100"/>
      </w:pPr>
      <w:r>
        <w:rPr>
          <w:sz w:val="20"/>
          <w:szCs w:val="20"/>
          <w:b w:val="1"/>
          <w:bCs w:val="1"/>
        </w:rPr>
        <w:t xml:space="preserve">Keywords: </w:t>
      </w:r>
      <w:r>
        <w:rPr>
          <w:sz w:val="20"/>
          <w:szCs w:val="20"/>
          <w:i w:val="1"/>
          <w:iCs w:val="1"/>
        </w:rPr>
        <w:t xml:space="preserve">Gross motor skills, fine motor skills, students with disabilities, TGMD-2, NHPT</w:t>
      </w:r>
    </w:p>
    <w:p/>
    <w:p>
      <w:pPr>
        <w:spacing w:after="400"/>
        <w:pBdr>
          <w:bottom w:val="single" w:sz="6" w:color="CBD5E1"/>
        </w:pBdr>
      </w:pPr>
      <w:r>
        <w:rPr/>
        <w:t xml:space="preserve"/>
      </w:r>
    </w:p>
    <w:p>
      <w:pPr>
        <w:keepNext w:val="1"/>
        <w:jc w:val="center"/>
        <w:spacing w:before="240" w:after="100"/>
      </w:pPr>
      <w:r>
        <w:rPr>
          <w:rFonts w:ascii="Arial" w:hAnsi="Arial" w:eastAsia="Arial" w:cs="Arial"/>
          <w:color w:val="0F172A"/>
          <w:sz w:val="24"/>
          <w:szCs w:val="24"/>
          <w:b w:val="1"/>
          <w:bCs w:val="1"/>
        </w:rPr>
        <w:t xml:space="preserve">E-COMMERCE SOCIALIZATION THROUGH TECHNICAL ASSISTANCE IN SHOPEE ACCOUNT CREATION FOR MARKETING VOCATIONAL PRODUCTS OF STUDENTS WITH DISABILITIES</w:t>
      </w:r>
    </w:p>
    <w:p>
      <w:pPr>
        <w:pStyle w:val="Center"/>
      </w:pPr>
      <w:r>
        <w:rPr>
          <w:sz w:val="22"/>
          <w:szCs w:val="22"/>
          <w:b w:val="1"/>
          <w:bCs w:val="1"/>
        </w:rPr>
        <w:t xml:space="preserve">Gina Shofia</w:t>
      </w:r>
      <w:br/>
      <w:r>
        <w:rPr>
          <w:color w:val="475569"/>
          <w:sz w:val="20"/>
          <w:szCs w:val="20"/>
          <w:i w:val="1"/>
          <w:iCs w:val="1"/>
        </w:rPr>
        <w:t xml:space="preserve">-</w:t>
      </w:r>
      <w:br/>
      <w:r>
        <w:rPr>
          <w:color w:val="2563EB"/>
          <w:sz w:val="20"/>
          <w:szCs w:val="20"/>
          <w:u w:val="single"/>
        </w:rPr>
        <w:t xml:space="preserve">gina.shofia.2531157@students.um.ac.id</w:t>
      </w:r>
    </w:p>
    <w:p/>
    <w:p>
      <w:pPr>
        <w:pStyle w:val="Justify"/>
      </w:pPr>
      <w:r>
        <w:rPr/>
        <w:t xml:space="preserve">The rapid growth of digital technology has transformed business practices and created new opportunities for product marketing through e-commerce platforms. However, many vocational products produced by deaf students remain marketed through conventional channels, limiting their market reach and commercial potential. This community service program aimed to enhance digital literacy and entrepreneurial competence among deaf students through e-commerce socialization and technical assistance in creating Shopee accounts for product marketing. The program was implemented using a participatory mentoring approach involving four stages: preparation, socialization, technical assistance, and evaluation. During the socialization stage, participants were introduced to the concepts, benefits, and opportunities of e-commerce in supporting business activities. Subsequently, students received hands-on guidance in creating Shopee accounts, setting up online stores, uploading products, and managing basic marketplace features. Evaluation was conducted through direct observation and performance assessment. The results indicated that participants successfully created and managed Shopee accounts independently, uploaded vocational products, and demonstrated improved understanding of digital marketing practices. The program contributed significantly to strengthening digital literacy, increasing entrepreneurial awareness, and expanding marketing opportunities for vocational products created by deaf students. The findings suggest that integrating e-commerce skills into vocational education can support economic empowerment and promote greater independence among students with disabilities.</w:t>
      </w:r>
    </w:p>
    <w:p>
      <w:pPr>
        <w:spacing w:before="100"/>
      </w:pPr>
      <w:r>
        <w:rPr>
          <w:sz w:val="20"/>
          <w:szCs w:val="20"/>
          <w:b w:val="1"/>
          <w:bCs w:val="1"/>
        </w:rPr>
        <w:t xml:space="preserve">Keywords: </w:t>
      </w:r>
      <w:r>
        <w:rPr>
          <w:sz w:val="20"/>
          <w:szCs w:val="20"/>
          <w:i w:val="1"/>
          <w:iCs w:val="1"/>
        </w:rPr>
        <w:t xml:space="preserve">e-commerce, Shope marketplace, students with disabilities, Vocational education, Digital Marketing</w:t>
      </w:r>
    </w:p>
    <w:p/>
    <w:p>
      <w:pPr>
        <w:spacing w:after="400"/>
        <w:pBdr>
          <w:bottom w:val="single" w:sz="6" w:color="CBD5E1"/>
        </w:pBdr>
      </w:pPr>
      <w:r>
        <w:rPr/>
        <w:t xml:space="preserve"/>
      </w:r>
    </w:p>
    <w:p>
      <w:pPr>
        <w:keepNext w:val="1"/>
        <w:jc w:val="center"/>
        <w:spacing w:before="240" w:after="100"/>
      </w:pPr>
      <w:r>
        <w:rPr>
          <w:rFonts w:ascii="Arial" w:hAnsi="Arial" w:eastAsia="Arial" w:cs="Arial"/>
          <w:color w:val="0F172A"/>
          <w:sz w:val="24"/>
          <w:szCs w:val="24"/>
          <w:b w:val="1"/>
          <w:bCs w:val="1"/>
        </w:rPr>
        <w:t xml:space="preserve">THE ROLE OF PARENTS IN PUBERTY EDUCATION AND STRENGTHENING SELF – PROTECTION SKILLS FOR CHILDREN WITH INTELLECTUAL DISABILITIES: A SYSTEMATIC LITERATURE REVIEW</w:t>
      </w:r>
    </w:p>
    <w:p>
      <w:pPr>
        <w:pStyle w:val="Center"/>
      </w:pPr>
      <w:r>
        <w:rPr>
          <w:sz w:val="22"/>
          <w:szCs w:val="22"/>
          <w:b w:val="1"/>
          <w:bCs w:val="1"/>
        </w:rPr>
        <w:t xml:space="preserve">MAHROMATUL ISRI</w:t>
      </w:r>
      <w:br/>
      <w:r>
        <w:rPr>
          <w:color w:val="475569"/>
          <w:sz w:val="20"/>
          <w:szCs w:val="20"/>
          <w:i w:val="1"/>
          <w:iCs w:val="1"/>
        </w:rPr>
        <w:t xml:space="preserve">-</w:t>
      </w:r>
      <w:br/>
      <w:r>
        <w:rPr>
          <w:color w:val="2563EB"/>
          <w:sz w:val="20"/>
          <w:szCs w:val="20"/>
          <w:u w:val="single"/>
        </w:rPr>
        <w:t xml:space="preserve">mahromatul.isri.2531157@students.um.ac.id</w:t>
      </w:r>
    </w:p>
    <w:p/>
    <w:p>
      <w:pPr>
        <w:pStyle w:val="Justify"/>
      </w:pPr>
      <w:r>
        <w:rPr/>
        <w:t xml:space="preserve"> Children with intellectual disabilities experience the same biological changes during puberty as their typically developing peers, but they often require additional support to understand these changes and develop appropriate self-protection skills. Parents play a central role ini providing puberty education, however many face challenges related to limited knowledge, communication strategies, and educational resourches. This study aimed to sytesize recent evidane on the role of parents in puberty education and strengthening self-protection skills for children with intellectual disabilities. A Systematic Literature Review (SLR) was conducted following the PRISMA guidelines. Articles published between 2021 and 2026 were retrieved from ERIC, SpringerLink, and Taylor &amp; Francis. After the screening process, 15 studies that met the inclusion criteria were analyzed using thematic synthesis. The review identified three major themes: the characteristics and challenges of puberty among children with intellectual disabilities, the roles of parents in delivering family-based puberty education, and the factors that support or hinder its implementation. The findings indicate that effective puberty education should begin before the onset of puberty, be delivered gradually using simple language, visual supports, and repeated practice, and include topics related to body changes, personal hygiene, privacy, healthy relationships, and self-protection. The review also highlights that parental confidence, knowledge, collaboration with schools, and access to appropriate learning materials are key factors influencing successful implementation. Family-based puberty education is essential for promoting children's independence, safety, and overall well-being. Future efforts should focus on developing structured educational programs that strengthen parents' capacity to provide developmentally appropriate puberty education for children with intellectual disabilities.  </w:t>
      </w:r>
    </w:p>
    <w:p>
      <w:pPr>
        <w:spacing w:before="100"/>
      </w:pPr>
      <w:r>
        <w:rPr>
          <w:sz w:val="20"/>
          <w:szCs w:val="20"/>
          <w:b w:val="1"/>
          <w:bCs w:val="1"/>
        </w:rPr>
        <w:t xml:space="preserve">Keywords: </w:t>
      </w:r>
      <w:r>
        <w:rPr>
          <w:sz w:val="20"/>
          <w:szCs w:val="20"/>
          <w:i w:val="1"/>
          <w:iCs w:val="1"/>
        </w:rPr>
        <w:t xml:space="preserve">sexual education, self-protection skills, role of parents, intellectual disabilites</w:t>
      </w:r>
    </w:p>
    <w:p/>
    <w:p>
      <w:pPr>
        <w:spacing w:after="400"/>
        <w:pBdr>
          <w:bottom w:val="single" w:sz="6" w:color="CBD5E1"/>
        </w:pBdr>
      </w:pPr>
      <w:r>
        <w:rPr/>
        <w:t xml:space="preserve"/>
      </w:r>
    </w:p>
    <w:p>
      <w:pPr>
        <w:keepNext w:val="1"/>
        <w:jc w:val="center"/>
        <w:spacing w:before="240" w:after="100"/>
      </w:pPr>
      <w:r>
        <w:rPr>
          <w:rFonts w:ascii="Arial" w:hAnsi="Arial" w:eastAsia="Arial" w:cs="Arial"/>
          <w:color w:val="0F172A"/>
          <w:sz w:val="24"/>
          <w:szCs w:val="24"/>
          <w:b w:val="1"/>
          <w:bCs w:val="1"/>
        </w:rPr>
        <w:t xml:space="preserve">DEVELOPMENT OF VOCATIONAL SKILLS TO ENHANCE THE INDEPENDENCE OF INDIVIDUALS WITH SPECIAL NEEDS: A SYSTEMATIC LITERATURE REVIEW</w:t>
      </w:r>
    </w:p>
    <w:p>
      <w:pPr>
        <w:pStyle w:val="Center"/>
      </w:pPr>
      <w:r>
        <w:rPr>
          <w:sz w:val="22"/>
          <w:szCs w:val="22"/>
          <w:b w:val="1"/>
          <w:bCs w:val="1"/>
        </w:rPr>
        <w:t xml:space="preserve">RIFDA HUSNA</w:t>
      </w:r>
      <w:br/>
      <w:r>
        <w:rPr>
          <w:color w:val="475569"/>
          <w:sz w:val="20"/>
          <w:szCs w:val="20"/>
          <w:i w:val="1"/>
          <w:iCs w:val="1"/>
        </w:rPr>
        <w:t xml:space="preserve">-</w:t>
      </w:r>
      <w:br/>
      <w:r>
        <w:rPr>
          <w:color w:val="2563EB"/>
          <w:sz w:val="20"/>
          <w:szCs w:val="20"/>
          <w:u w:val="single"/>
        </w:rPr>
        <w:t xml:space="preserve">rifda.husna.2101546@students.um.ac.id</w:t>
      </w:r>
    </w:p>
    <w:p/>
    <w:p>
      <w:pPr>
        <w:pStyle w:val="Justify"/>
      </w:pPr>
      <w:r>
        <w:rPr/>
        <w:t xml:space="preserve"> Individuals with special needs require skills that support independence in daily life and productive activities. Vocational skills development is one approach to achieving this goal through programs tailored to individual abilities and needs. This Systematic Literature Review aims to provide an overview of the forms of vocational skills development that support the independence of children with special needs. Data were collected by searching for, selecting, and reviewing English-language empirical primary research articles published between 2021 and 2026 through the ScienceDirect and Taylor &amp; Francis databases, based on predetermined inclusion and exclusion criteria. A total of five articles met the inclusion criteria and were analyzed. The results of the review indicate that vocational skills development is carried out through empowerment-based training, job coaching and real-life practice, community-based and individual-centered training, video modeling for specific vocational skills, and a combination of video modeling and coaching for work readiness skills. These approaches support the acquisition and maintenance of skills, skill generalization, the development of soft skills, and the ability to engage in productive activities more independently. These findings suggest that vocational skills development tailored to individual characteristics and needs can be one strategy to support the independence of children with special needs. </w:t>
      </w:r>
    </w:p>
    <w:p>
      <w:pPr>
        <w:spacing w:before="100"/>
      </w:pPr>
      <w:r>
        <w:rPr>
          <w:sz w:val="20"/>
          <w:szCs w:val="20"/>
          <w:b w:val="1"/>
          <w:bCs w:val="1"/>
        </w:rPr>
        <w:t xml:space="preserve">Keywords: </w:t>
      </w:r>
      <w:r>
        <w:rPr>
          <w:sz w:val="20"/>
          <w:szCs w:val="20"/>
          <w:i w:val="1"/>
          <w:iCs w:val="1"/>
        </w:rPr>
        <w:t xml:space="preserve">Vocational Skills, Independence, Children with Special Needs.</w:t>
      </w:r>
    </w:p>
    <w:p/>
    <w:p>
      <w:pPr>
        <w:spacing w:after="400"/>
        <w:pBdr>
          <w:bottom w:val="single" w:sz="6" w:color="CBD5E1"/>
        </w:pBdr>
      </w:pPr>
      <w:r>
        <w:rPr/>
        <w:t xml:space="preserve"/>
      </w:r>
    </w:p>
    <w:p>
      <w:pPr>
        <w:keepNext w:val="1"/>
        <w:jc w:val="center"/>
        <w:spacing w:before="240" w:after="100"/>
      </w:pPr>
      <w:r>
        <w:rPr>
          <w:rFonts w:ascii="Arial" w:hAnsi="Arial" w:eastAsia="Arial" w:cs="Arial"/>
          <w:color w:val="0F172A"/>
          <w:sz w:val="24"/>
          <w:szCs w:val="24"/>
          <w:b w:val="1"/>
          <w:bCs w:val="1"/>
        </w:rPr>
        <w:t xml:space="preserve">AN AUGMENTED REALITY AND VIRTUAL REALITY-INTEGRATED STEAM WORKBOOK TO FOSTER IMMERSIVE SCIENCE LEARNING AMONG JUNIOR HIGH SCHOOL STUDENTS</w:t>
      </w:r>
    </w:p>
    <w:p>
      <w:pPr>
        <w:pStyle w:val="Center"/>
      </w:pPr>
      <w:r>
        <w:rPr>
          <w:sz w:val="22"/>
          <w:szCs w:val="22"/>
          <w:b w:val="1"/>
          <w:bCs w:val="1"/>
        </w:rPr>
        <w:t xml:space="preserve">SHINTIA ANI FATIMATUS ZAHRO</w:t>
      </w:r>
      <w:br/>
      <w:r>
        <w:rPr>
          <w:color w:val="475569"/>
          <w:sz w:val="20"/>
          <w:szCs w:val="20"/>
          <w:i w:val="1"/>
          <w:iCs w:val="1"/>
        </w:rPr>
        <w:t xml:space="preserve">-</w:t>
      </w:r>
      <w:br/>
      <w:r>
        <w:rPr>
          <w:color w:val="2563EB"/>
          <w:sz w:val="20"/>
          <w:szCs w:val="20"/>
          <w:u w:val="single"/>
        </w:rPr>
        <w:t xml:space="preserve">shintia.ani.2503518@students.um.ac.id</w:t>
      </w:r>
    </w:p>
    <w:p/>
    <w:p>
      <w:pPr>
        <w:pStyle w:val="Justify"/>
      </w:pPr>
      <w:r>
        <w:rPr/>
        <w:t xml:space="preserve">Understanding human organ systems is an important learning outcome in junior high school science because it helps students understand how their bodies function. However, topics such as the respiratory and excretory systems are often difficult to understand because their structures and physiological processes occur inside the body and cannot be directly observed. Conventional learning media also have limitations in visually representing these structures and mechanisms, making it difficult for students to develop a comprehensive understanding of the concepts. Therefore, this study aimed to develop Augmented Reality (AR), Virtual Reality (VR), and STEAM-workbook media for learning the human respiratory and excretory systems and to assess their feasibility based on expert and practitioner evaluations. This Research and Development (R&amp;D) study employed the ADDIE model, limited to the Analysis, Design, and Development stages. The needs analysis involved 60 students and six science teachers from two junior high schools. Product validation involved two media experts, one subject matter expert, and seven science teachers as practitioner evaluators for each topic. Data were analyzed descriptively using feasibility percentages and within-group inter-rater agreement (rWG). The respiratory system products achieved feasibility scores of 96.9% for AR, 90.6% to 100.0% for VR, and 79.0% to 91.7% for the workbook. The excretory system products obtained average feasibility scores of 97.13%, 91.25%, and 92.69%, respectively. Conceptual accuracy reached 100.0% for both topics, indicating that the products were free from conceptual misconceptions. These findings indicate that the integrated AR, VR, and STEAM-workbook media are highly feasible for supporting science learning on human respiratory and excretory systems.</w:t>
      </w:r>
    </w:p>
    <w:p>
      <w:pPr>
        <w:spacing w:before="100"/>
      </w:pPr>
      <w:r>
        <w:rPr>
          <w:sz w:val="20"/>
          <w:szCs w:val="20"/>
          <w:b w:val="1"/>
          <w:bCs w:val="1"/>
        </w:rPr>
        <w:t xml:space="preserve">Keywords: </w:t>
      </w:r>
      <w:r>
        <w:rPr>
          <w:sz w:val="20"/>
          <w:szCs w:val="20"/>
          <w:i w:val="1"/>
          <w:iCs w:val="1"/>
        </w:rPr>
        <w:t xml:space="preserve">Augmented Reality, Immersive Technology, Science Learning, STEAM-Workbook, Virtual Reality</w:t>
      </w:r>
    </w:p>
    <w:p/>
    <w:p>
      <w:pPr>
        <w:spacing w:after="400"/>
        <w:pBdr>
          <w:bottom w:val="single" w:sz="6" w:color="CBD5E1"/>
        </w:pBdr>
      </w:pPr>
      <w:r>
        <w:rPr/>
        <w:t xml:space="preserve"/>
      </w:r>
    </w:p>
    <w:p>
      <w:pPr>
        <w:keepNext w:val="1"/>
        <w:jc w:val="center"/>
        <w:spacing w:before="240" w:after="100"/>
      </w:pPr>
      <w:r>
        <w:rPr>
          <w:rFonts w:ascii="Arial" w:hAnsi="Arial" w:eastAsia="Arial" w:cs="Arial"/>
          <w:color w:val="0F172A"/>
          <w:sz w:val="24"/>
          <w:szCs w:val="24"/>
          <w:b w:val="1"/>
          <w:bCs w:val="1"/>
        </w:rPr>
        <w:t xml:space="preserve">FUELING CREATIVITY: THE ROLE OF DESIGN THINKING–STEAM IN TEACHING ENERGY CONCEPTS TO JUNIOR HIGH STUDENTS</w:t>
      </w:r>
    </w:p>
    <w:p>
      <w:pPr>
        <w:pStyle w:val="Center"/>
      </w:pPr>
      <w:r>
        <w:rPr>
          <w:sz w:val="22"/>
          <w:szCs w:val="22"/>
          <w:b w:val="1"/>
          <w:bCs w:val="1"/>
        </w:rPr>
        <w:t xml:space="preserve">NUR FADILAH</w:t>
      </w:r>
      <w:br/>
      <w:r>
        <w:rPr>
          <w:color w:val="475569"/>
          <w:sz w:val="20"/>
          <w:szCs w:val="20"/>
          <w:i w:val="1"/>
          <w:iCs w:val="1"/>
        </w:rPr>
        <w:t xml:space="preserve">-</w:t>
      </w:r>
      <w:br/>
      <w:r>
        <w:rPr>
          <w:color w:val="2563EB"/>
          <w:sz w:val="20"/>
          <w:szCs w:val="20"/>
          <w:u w:val="single"/>
        </w:rPr>
        <w:t xml:space="preserve">nur.fadilah.2503518@students.um.ac.id</w:t>
      </w:r>
    </w:p>
    <w:p/>
    <w:p>
      <w:pPr>
        <w:pStyle w:val="Justify"/>
      </w:pPr>
      <w:r>
        <w:rPr/>
        <w:t xml:space="preserve">Creativity is an important skill for education in the 21st century. Scientific creativity (SC) is crucial for students; it is thus necessary to equip them to master these skills in facing the challenges of globalization. An innovative learning model is needed to improve students’ SC. The application of design thinking-STEAM (DT-STEAM) learning is an effort to increase the SC of junior high (middle) school students. The objective of this study is to determine the effectiveness of applying DT-STEAM learning on the topic of energy in improving the SC of junior high school students. This study used a quasi-experimental pretest-posttest control-group design method. The experimental class received DT-STEAM learning and the control class received conventional learning. Students’ SC was measured before and after learning through seven SC items developed according to the three-dimensional Scientific Structure Creativity Model (SSCM) indicators. The SC indicator that increased the highest was flexibility, which increased by 61.94%. Meanwhile, fluency and originality experienced the same increase of 22.29%. The SC levels of experimental class students are higher than that of the control class, indicating a significant difference from the posttest results of experimental class students with those of the control class. The increase in SC levels is influenced by each stage of DT-STEAM learning. The element of arts in STEAM also plays a role in increasing the creativity of junior high school students. This study shows that DT-STEAM learning is more effective in increasing the SC of junior high school students on the topic of energy.</w:t>
      </w:r>
    </w:p>
    <w:p>
      <w:pPr>
        <w:spacing w:before="100"/>
      </w:pPr>
      <w:r>
        <w:rPr>
          <w:sz w:val="20"/>
          <w:szCs w:val="20"/>
          <w:b w:val="1"/>
          <w:bCs w:val="1"/>
        </w:rPr>
        <w:t xml:space="preserve">Keywords: </w:t>
      </w:r>
      <w:r>
        <w:rPr>
          <w:sz w:val="20"/>
          <w:szCs w:val="20"/>
          <w:i w:val="1"/>
          <w:iCs w:val="1"/>
        </w:rPr>
        <w:t xml:space="preserve">design thinking, energy, science education, scientific creativity, STEAM</w:t>
      </w:r>
    </w:p>
    <w:sectPr>
      <w:footerReference w:type="default" r:id="rId7"/>
      <w:pgSz w:orient="portrait" w:w="11905.511811023622" w:h="16837.79527559055"/>
      <w:pgMar w:top="1417.3228346456694" w:right="1700.787401574803" w:bottom="1417.3228346456694"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color w:val="94A3B8"/>
        <w:sz w:val="20"/>
        <w:szCs w:val="20"/>
      </w:rPr>
      <w:t xml:space="preserve">Page </w:t>
    </w:r>
    <w:r>
      <w:fldChar w:fldCharType="begin"/>
    </w:r>
    <w:r>
      <w:rPr>
        <w:color w:val="94A3B8"/>
        <w:sz w:val="20"/>
        <w:szCs w:val="20"/>
      </w:rPr>
      <w:instrText xml:space="preserve">PAGE</w:instrText>
    </w:r>
    <w:r>
      <w:fldChar w:fldCharType="separate"/>
    </w:r>
    <w:r>
      <w:fldChar w:fldCharType="end"/>
    </w:r>
    <w:r>
      <w:rPr>
        <w:color w:val="94A3B8"/>
        <w:sz w:val="20"/>
        <w:szCs w:val="20"/>
      </w:rPr>
      <w:t xml:space="preserve"> of </w:t>
    </w:r>
    <w:r>
      <w:fldChar w:fldCharType="begin"/>
    </w:r>
    <w:r>
      <w:rPr>
        <w:color w:val="94A3B8"/>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Justify">
    <w:name w:val="Justify"/>
    <w:basedOn w:val="Normal"/>
    <w:pPr>
      <w:jc w:val="both"/>
      <w:spacing w:after="120" w:line="276" w:lineRule="auto"/>
    </w:pPr>
  </w:style>
  <w:style w:type="paragraph" w:customStyle="1" w:styleId="Center">
    <w:name w:val="Center"/>
    <w:basedOn w:val="Normal"/>
    <w:pPr>
      <w:jc w:val="center"/>
      <w:spacing w:after="100"/>
    </w:pPr>
  </w:style>
  <w:style w:type="paragraph" w:styleId="Heading1">
    <w:link w:val="Heading1Char"/>
    <w:name w:val="heading 1"/>
    <w:basedOn w:val="Normal"/>
    <w:pPr>
      <w:jc w:val="center"/>
      <w:spacing w:after="240"/>
    </w:pPr>
    <w:rPr>
      <w:rFonts w:ascii="Arial" w:hAnsi="Arial" w:eastAsia="Arial" w:cs="Arial"/>
      <w:color w:val="1E1B4B"/>
      <w:sz w:val="32"/>
      <w:szCs w:val="32"/>
      <w:b w:val="1"/>
      <w:bCs w:val="1"/>
    </w:rPr>
  </w:style>
  <w:style w:type="table" w:customStyle="1" w:styleId="InfoTable">
    <w:name w:val="InfoTable"/>
    <w:uiPriority w:val="99"/>
    <w:tblPr>
      <w:tblW w:w="0" w:type="auto"/>
      <w:tblLayout w:type="autofit"/>
      <w:tblCellMar>
        <w:top w:w="80" w:type="dxa"/>
        <w:left w:w="80" w:type="dxa"/>
        <w:right w:w="80" w:type="dxa"/>
        <w:bottom w:w="80" w:type="dxa"/>
      </w:tblCellMar>
      <w:tblBorders>
        <w:top w:val="single" w:sz="6" w:color="4F46E5"/>
        <w:left w:val="single" w:sz="6" w:color="4F46E5"/>
        <w:right w:val="single" w:sz="6" w:color="4F46E5"/>
        <w:bottom w:val="single" w:sz="6" w:color="4F46E5"/>
        <w:insideH w:val="single" w:sz="6" w:color="4F46E5"/>
        <w:insideV w:val="single" w:sz="6" w:color="4F46E5"/>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Sustaincon System</dc:creator>
  <dc:title>Book of Abstracts - 2nd International Conference on Inclusive STEAM Education</dc:title>
  <dc:description/>
  <dc:subject/>
  <cp:keywords/>
  <cp:category/>
  <cp:lastModifiedBy/>
  <dcterms:created xsi:type="dcterms:W3CDTF">2026-08-13T06:28:40+00:00</dcterms:created>
  <dcterms:modified xsi:type="dcterms:W3CDTF">2026-08-13T06:28:40+00:00</dcterms:modified>
</cp:coreProperties>
</file>

<file path=docProps/custom.xml><?xml version="1.0" encoding="utf-8"?>
<Properties xmlns="http://schemas.openxmlformats.org/officeDocument/2006/custom-properties" xmlns:vt="http://schemas.openxmlformats.org/officeDocument/2006/docPropsVTypes"/>
</file>